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p>
    <w:p>
      <w:pPr>
        <w:spacing w:after="60"/>
      </w:pPr>
    </w:p>
    <w:p>
      <w:pPr>
        <w:spacing w:after="60"/>
      </w:pPr>
    </w:p>
    <w:p>
      <w:pPr>
        <w:spacing w:after="60"/>
      </w:pPr>
    </w:p>
    <w:p>
      <w:pPr>
        <w:spacing w:after="60"/>
      </w:pPr>
    </w:p>
    <w:p>
      <w:pPr>
        <w:spacing w:after="60"/>
      </w:pPr>
    </w:p>
    <w:p>
      <w:pPr>
        <w:spacing w:after="80"/>
      </w:pPr>
      <w:r>
        <w:rPr>
          <w:rFonts w:ascii="Arial" w:cs="Arial" w:eastAsia="Arial" w:hAnsi="Arial"/>
          <w:b/>
          <w:bCs/>
          <w:color w:val="666666"/>
          <w:spacing w:val="200"/>
          <w:sz w:val="28"/>
          <w:szCs w:val="28"/>
        </w:rPr>
        <w:t xml:space="preserve">TEACHING PACK</w:t>
      </w:r>
    </w:p>
    <w:p>
      <w:pPr>
        <w:spacing w:after="40"/>
      </w:pPr>
      <w:r>
        <w:rPr>
          <w:color w:val="2E5090"/>
          <w:sz w:val="20"/>
          <w:szCs w:val="20"/>
        </w:rPr>
        <w:t xml:space="preserve">────────────────────────────────────────────────────────────</w:t>
      </w:r>
    </w:p>
    <w:p>
      <w:pPr>
        <w:spacing w:after="200"/>
      </w:pPr>
      <w:r>
        <w:rPr>
          <w:rFonts w:ascii="Arial" w:cs="Arial" w:eastAsia="Arial" w:hAnsi="Arial"/>
          <w:b/>
          <w:bCs/>
          <w:color w:val="2E5090"/>
          <w:sz w:val="48"/>
          <w:szCs w:val="48"/>
        </w:rPr>
        <w:t xml:space="preserve">Antibody Validation in Biomedical Research</w:t>
      </w:r>
    </w:p>
    <w:p>
      <w:pPr>
        <w:spacing w:after="400"/>
      </w:pPr>
      <w:r>
        <w:rPr>
          <w:rFonts w:ascii="Arial" w:cs="Arial" w:eastAsia="Arial" w:hAnsi="Arial"/>
          <w:i/>
          <w:iCs/>
          <w:color w:val="555555"/>
          <w:sz w:val="26"/>
          <w:szCs w:val="26"/>
        </w:rPr>
        <w:t xml:space="preserve">Why antibody choice matters — and what researchers can do about it</w:t>
      </w:r>
    </w:p>
    <w:p>
      <w:pPr>
        <w:spacing w:after="120"/>
      </w:pPr>
      <w:r>
        <w:rPr>
          <w:rFonts w:ascii="Arial" w:cs="Arial" w:eastAsia="Arial" w:hAnsi="Arial"/>
          <w:color w:val="555555"/>
          <w:sz w:val="22"/>
          <w:szCs w:val="22"/>
        </w:rPr>
        <w:t xml:space="preserve">A ready-to-use resource for course leaders, supervisors, and research trainers</w:t>
      </w:r>
    </w:p>
    <w:p>
      <w:pPr>
        <w:spacing w:after="60"/>
      </w:pPr>
    </w:p>
    <w:p>
      <w:pPr>
        <w:spacing w:after="60"/>
      </w:pPr>
    </w:p>
    <w:p>
      <w:pPr>
        <w:spacing w:after="60"/>
      </w:pPr>
    </w:p>
    <w:p>
      <w:pPr>
        <w:spacing w:after="60"/>
      </w:pPr>
    </w:p>
    <w:p>
      <w:pPr>
        <w:spacing w:after="60"/>
      </w:pPr>
    </w:p>
    <w:p>
      <w:pPr>
        <w:spacing w:after="60"/>
      </w:pPr>
      <w:r>
        <w:rPr>
          <w:color w:val="888888"/>
          <w:sz w:val="20"/>
          <w:szCs w:val="20"/>
        </w:rPr>
        <w:t xml:space="preserve">Developed from findings of an MRC-funded Delphi consensus study on antibody validation reform</w:t>
      </w:r>
    </w:p>
    <w:p>
      <w:pPr>
        <w:spacing w:after="60"/>
      </w:pPr>
      <w:r>
        <w:rPr>
          <w:color w:val="888888"/>
          <w:sz w:val="20"/>
          <w:szCs w:val="20"/>
        </w:rPr>
        <w:t xml:space="preserve">Blades K, Biddle M, Froud R, Krockow EM, Virk H (2026). </w:t>
      </w:r>
      <w:r>
        <w:rPr>
          <w:i/>
          <w:iCs/>
          <w:color w:val="888888"/>
          <w:sz w:val="20"/>
          <w:szCs w:val="20"/>
        </w:rPr>
        <w:t xml:space="preserve">doi:10.64898/2026.03.04.709541</w:t>
      </w:r>
    </w:p>
    <w:p>
      <w:r>
        <w:rPr>
          <w:color w:val="888888"/>
          <w:sz w:val="20"/>
          <w:szCs w:val="20"/>
        </w:rPr>
        <w:t xml:space="preserve">Biddle M, Cooper J, Blades K, Ruddy D, Krockow EM, Virk H (2026). </w:t>
      </w:r>
      <w:r>
        <w:rPr>
          <w:i/>
          <w:iCs/>
          <w:color w:val="888888"/>
          <w:sz w:val="20"/>
          <w:szCs w:val="20"/>
        </w:rPr>
        <w:t xml:space="preserve">doi:10.64898/2026.02.19.706766</w:t>
      </w:r>
    </w:p>
    <w:p>
      <w:pPr>
        <w:spacing w:after="60"/>
      </w:pPr>
    </w:p>
    <w:p>
      <w:r>
        <w:rPr>
          <w:color w:val="888888"/>
          <w:sz w:val="20"/>
          <w:szCs w:val="20"/>
        </w:rPr>
        <w:t xml:space="preserve">This resource is free to use, adapt, and redistribute with attribution.</w:t>
      </w:r>
    </w:p>
    <w:p>
      <w:pPr>
        <w:sectPr>
          <w:pgSz w:w="11906" w:h="16838" w:orient="portrait"/>
          <w:pgMar w:top="1440" w:right="1440" w:bottom="1440" w:left="1440" w:header="708" w:footer="708" w:gutter="0"/>
          <w:pgNumType/>
          <w:docGrid w:linePitch="360"/>
        </w:sectPr>
      </w:pPr>
    </w:p>
    <w:p>
      <w:pPr>
        <w:pStyle w:val="Heading1"/>
      </w:pPr>
      <w:r>
        <w:t xml:space="preserve">1. About This Pack</w:t>
      </w:r>
    </w:p>
    <w:p>
      <w:pPr>
        <w:spacing w:after="120" w:line="276"/>
      </w:pPr>
      <w:r>
        <w:t xml:space="preserve">This teaching pack provides everything needed to deliver a session on why antibody validation matters and how researchers can make better-informed antibody choices. It is designed for </w:t>
      </w:r>
      <w:r>
        <w:rPr>
          <w:b/>
          <w:bCs/>
        </w:rPr>
        <w:t xml:space="preserve">course leaders, lab supervisors, doctoral programme coordinators, and research integrity trainers</w:t>
      </w:r>
      <w:r>
        <w:t xml:space="preserve"> who want to integrate this topic into existing teaching without developing materials from scratch.</w:t>
      </w:r>
    </w:p>
    <w:p>
      <w:pPr>
        <w:spacing w:after="120" w:line="276"/>
      </w:pPr>
      <w:r>
        <w:t xml:space="preserve">The pack focuses on </w:t>
      </w:r>
      <w:r>
        <w:rPr>
          <w:b/>
          <w:bCs/>
        </w:rPr>
        <w:t xml:space="preserve">motivation and understanding</w:t>
      </w:r>
      <w:r>
        <w:t xml:space="preserve"> rather than hands-on technique. Students and researchers should come away understanding the scale and consequences of the antibody validation problem, and be motivated to approach antibody selection critically. The technical detail of </w:t>
      </w:r>
      <w:r>
        <w:rPr>
          <w:i/>
          <w:iCs/>
        </w:rPr>
        <w:t xml:space="preserve">how</w:t>
      </w:r>
      <w:r>
        <w:t xml:space="preserve"> to validate antibodies is covered by free, self-directed e-learning modules (linked in Section 5) that can be assigned alongside or after the taught session.</w:t>
      </w:r>
    </w:p>
    <w:p>
      <w:pPr>
        <w:pStyle w:val="Heading3"/>
      </w:pPr>
      <w:r>
        <w:t xml:space="preserve">What is included</w:t>
      </w:r>
    </w:p>
    <w:p>
      <w:pPr>
        <w:pStyle w:val="ListParagraph"/>
        <w:numPr>
          <w:ilvl w:val="0"/>
          <w:numId w:val="2"/>
        </w:numPr>
        <w:spacing w:after="60" w:line="276"/>
      </w:pPr>
      <w:r>
        <w:rPr>
          <w:b/>
          <w:bCs/>
        </w:rPr>
        <w:t xml:space="preserve">Integration scenarios</w:t>
      </w:r>
      <w:r>
        <w:t xml:space="preserve"> — four ways to use this material depending on how much time you have (Section 2)</w:t>
      </w:r>
    </w:p>
    <w:p>
      <w:pPr>
        <w:pStyle w:val="ListParagraph"/>
        <w:numPr>
          <w:ilvl w:val="0"/>
          <w:numId w:val="2"/>
        </w:numPr>
        <w:spacing w:after="60" w:line="276"/>
      </w:pPr>
      <w:r>
        <w:rPr>
          <w:b/>
          <w:bCs/>
        </w:rPr>
        <w:t xml:space="preserve">Structured talking points</w:t>
      </w:r>
      <w:r>
        <w:t xml:space="preserve"> — the key evidence and narrative, ready to present or adapt for slides (Section 3)</w:t>
      </w:r>
    </w:p>
    <w:p>
      <w:pPr>
        <w:pStyle w:val="ListParagraph"/>
        <w:numPr>
          <w:ilvl w:val="0"/>
          <w:numId w:val="2"/>
        </w:numPr>
        <w:spacing w:after="60" w:line="276"/>
      </w:pPr>
      <w:r>
        <w:rPr>
          <w:b/>
          <w:bCs/>
        </w:rPr>
        <w:t xml:space="preserve">Discussion activities and case studies</w:t>
      </w:r>
      <w:r>
        <w:t xml:space="preserve"> — three ready-to-use exercises (Section 4)</w:t>
      </w:r>
    </w:p>
    <w:p>
      <w:pPr>
        <w:pStyle w:val="ListParagraph"/>
        <w:numPr>
          <w:ilvl w:val="0"/>
          <w:numId w:val="2"/>
        </w:numPr>
        <w:spacing w:after="60" w:line="276"/>
      </w:pPr>
      <w:r>
        <w:rPr>
          <w:b/>
          <w:bCs/>
        </w:rPr>
        <w:t xml:space="preserve">Self-directed learning resources</w:t>
      </w:r>
      <w:r>
        <w:t xml:space="preserve"> — links to free e-learning modules for technical depth (Section 5)</w:t>
      </w:r>
    </w:p>
    <w:p>
      <w:pPr>
        <w:pStyle w:val="ListParagraph"/>
        <w:numPr>
          <w:ilvl w:val="0"/>
          <w:numId w:val="2"/>
        </w:numPr>
        <w:spacing w:after="120" w:line="276"/>
      </w:pPr>
      <w:r>
        <w:rPr>
          <w:b/>
          <w:bCs/>
        </w:rPr>
        <w:t xml:space="preserve">Assessment and reflection questions</w:t>
      </w:r>
      <w:r>
        <w:t xml:space="preserve"> — for assignments, vivas, or formative checks (Section 6)</w:t>
      </w:r>
    </w:p>
    <w:p>
      <w:pPr>
        <w:pStyle w:val="Heading3"/>
      </w:pPr>
      <w:r>
        <w:t xml:space="preserve">Who should deliver this?</w:t>
      </w:r>
    </w:p>
    <w:p>
      <w:pPr>
        <w:spacing w:after="120" w:line="276"/>
      </w:pPr>
      <w:r>
        <w:t xml:space="preserve">You do not need to be an antibody validation expert. The pack is designed so that anyone teaching research methods, immunology, molecular biology, cell biology, or research integrity can deliver it. The talking points (Section 3) provide the key evidence; the e-learning modules (Section 5) handle the technical depth. Your role is to make the case for why it matters and facilitate discussion.</w:t>
      </w:r>
    </w:p>
    <w:p>
      <w:pPr>
        <w:pStyle w:val="Heading3"/>
      </w:pPr>
      <w:r>
        <w:t xml:space="preserve">Where does it fit?</w:t>
      </w:r>
    </w:p>
    <w:p>
      <w:pPr>
        <w:spacing w:after="120" w:line="276"/>
      </w:pPr>
      <w:r>
        <w:t xml:space="preserve">This material slots naturally into:</w:t>
      </w:r>
    </w:p>
    <w:p>
      <w:pPr>
        <w:pStyle w:val="ListParagraph"/>
        <w:numPr>
          <w:ilvl w:val="0"/>
          <w:numId w:val="2"/>
        </w:numPr>
        <w:spacing w:after="60" w:line="276"/>
      </w:pPr>
      <w:r>
        <w:t xml:space="preserve">Research methods or experimental design modules (undergraduate or postgraduate)</w:t>
      </w:r>
    </w:p>
    <w:p>
      <w:pPr>
        <w:pStyle w:val="ListParagraph"/>
        <w:numPr>
          <w:ilvl w:val="0"/>
          <w:numId w:val="2"/>
        </w:numPr>
        <w:spacing w:after="60" w:line="276"/>
      </w:pPr>
      <w:r>
        <w:t xml:space="preserve">Laboratory technique modules covering immunological methods (WB, IF, FC, IHC, IP)</w:t>
      </w:r>
    </w:p>
    <w:p>
      <w:pPr>
        <w:pStyle w:val="ListParagraph"/>
        <w:numPr>
          <w:ilvl w:val="0"/>
          <w:numId w:val="2"/>
        </w:numPr>
        <w:spacing w:after="60" w:line="276"/>
      </w:pPr>
      <w:r>
        <w:t xml:space="preserve">Research integrity or responsible conduct of research training</w:t>
      </w:r>
    </w:p>
    <w:p>
      <w:pPr>
        <w:pStyle w:val="ListParagraph"/>
        <w:numPr>
          <w:ilvl w:val="0"/>
          <w:numId w:val="2"/>
        </w:numPr>
        <w:spacing w:after="60" w:line="276"/>
      </w:pPr>
      <w:r>
        <w:t xml:space="preserve">Doctoral training programme inductions or annual skills sessions</w:t>
      </w:r>
    </w:p>
    <w:p>
      <w:pPr>
        <w:pStyle w:val="ListParagraph"/>
        <w:numPr>
          <w:ilvl w:val="0"/>
          <w:numId w:val="2"/>
        </w:numPr>
        <w:spacing w:after="120" w:line="276"/>
      </w:pPr>
      <w:r>
        <w:t xml:space="preserve">Journal clubs or lab group meetings (using the discussion activities alone)</w:t>
      </w:r>
    </w:p>
    <w:p>
      <w:r>
        <w:br w:type="page"/>
      </w:r>
    </w:p>
    <w:p>
      <w:pPr>
        <w:pStyle w:val="Heading1"/>
      </w:pPr>
      <w:r>
        <w:t xml:space="preserve">2. Integration Scenarios</w:t>
      </w:r>
    </w:p>
    <w:p>
      <w:pPr>
        <w:spacing w:after="120" w:line="276"/>
      </w:pPr>
      <w:r>
        <w:t xml:space="preserve">Choose the format that fits your context. All four options use the same core material from this pack.</w:t>
      </w:r>
    </w:p>
    <w:p>
      <w:pPr>
        <w:spacing w:after="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5090" w:sz="1"/>
              <w:left w:val="single" w:color="2E5090" w:sz="6"/>
              <w:bottom w:val="single" w:color="2E5090" w:sz="1"/>
              <w:right w:val="single" w:color="2E5090" w:sz="1"/>
            </w:tcBorders>
            <w:shd w:fill="E8EEF7" w:val="clear"/>
            <w:tcMar>
              <w:top w:type="dxa" w:w="120"/>
              <w:left w:type="dxa" w:w="200"/>
              <w:bottom w:type="dxa" w:w="120"/>
              <w:right w:type="dxa" w:w="200"/>
            </w:tcMar>
          </w:tcPr>
          <w:p>
            <w:pPr>
              <w:spacing w:after="100"/>
            </w:pPr>
            <w:r>
              <w:rPr>
                <w:b/>
                <w:bCs/>
                <w:color w:val="2E5090"/>
                <w:sz w:val="24"/>
                <w:szCs w:val="24"/>
              </w:rPr>
              <w:t xml:space="preserve">Scenario A: The 15-Minute Insert</w:t>
            </w:r>
          </w:p>
          <w:p>
            <w:pPr>
              <w:spacing w:after="80" w:line="276"/>
            </w:pPr>
            <w:r>
              <w:rPr>
                <w:b/>
                <w:bCs/>
              </w:rPr>
              <w:t xml:space="preserve">Context: </w:t>
            </w:r>
            <w:r>
              <w:t xml:space="preserve">You have a short slot within an existing lecture on experimental design, immunological methods, or research integrity.</w:t>
            </w:r>
          </w:p>
          <w:p>
            <w:pPr>
              <w:spacing w:after="80" w:line="276"/>
            </w:pPr>
            <w:r>
              <w:rPr>
                <w:b/>
                <w:bCs/>
              </w:rPr>
              <w:t xml:space="preserve">What to cover: </w:t>
            </w:r>
            <w:r>
              <w:t xml:space="preserve">Present the key numbers from Section 3 (Parts 1–2): the $1 billion annual waste figure, the &gt;50% antibody failure rate, the millions of wasted biological samples. End with the gap between what researchers say they do and what the published literature shows (72% report using validation methods; only 15.8% of papers present any validation evidence).</w:t>
            </w:r>
          </w:p>
          <w:p>
            <w:pPr>
              <w:spacing w:after="80" w:line="276"/>
            </w:pPr>
            <w:r>
              <w:rPr>
                <w:b/>
                <w:bCs/>
              </w:rPr>
              <w:t xml:space="preserve">Assign afterwards: </w:t>
            </w:r>
            <w:r>
              <w:t xml:space="preserve">Direct students to complete the self-directed e-learning modules (Section 5, Modules 1–2) in their own time.</w:t>
            </w:r>
          </w:p>
          <w:p>
            <w:pPr>
              <w:spacing w:after="0" w:line="276"/>
            </w:pPr>
            <w:r>
              <w:rPr>
                <w:b/>
                <w:bCs/>
              </w:rPr>
              <w:t xml:space="preserve">Preparation needed: </w:t>
            </w:r>
            <w:r>
              <w:t xml:space="preserve">Read Section 3, Parts 1–2 (~10 minutes). No slides needed — these numbers speak for themselves.</w:t>
            </w:r>
          </w:p>
        </w:tc>
      </w:tr>
    </w:tbl>
    <w:p>
      <w:pPr>
        <w:spacing w:after="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5090" w:sz="1"/>
              <w:left w:val="single" w:color="2E5090" w:sz="6"/>
              <w:bottom w:val="single" w:color="2E5090" w:sz="1"/>
              <w:right w:val="single" w:color="2E5090" w:sz="1"/>
            </w:tcBorders>
            <w:shd w:fill="E8EEF7" w:val="clear"/>
            <w:tcMar>
              <w:top w:type="dxa" w:w="120"/>
              <w:left w:type="dxa" w:w="200"/>
              <w:bottom w:type="dxa" w:w="120"/>
              <w:right w:type="dxa" w:w="200"/>
            </w:tcMar>
          </w:tcPr>
          <w:p>
            <w:pPr>
              <w:spacing w:after="100"/>
            </w:pPr>
            <w:r>
              <w:rPr>
                <w:b/>
                <w:bCs/>
                <w:color w:val="2E5090"/>
                <w:sz w:val="24"/>
                <w:szCs w:val="24"/>
              </w:rPr>
              <w:t xml:space="preserve">Scenario B: The One-Hour Lecture</w:t>
            </w:r>
          </w:p>
          <w:p>
            <w:pPr>
              <w:spacing w:after="80" w:line="276"/>
            </w:pPr>
            <w:r>
              <w:rPr>
                <w:b/>
                <w:bCs/>
              </w:rPr>
              <w:t xml:space="preserve">Context: </w:t>
            </w:r>
            <w:r>
              <w:t xml:space="preserve">You have a full lecture slot in a research methods, immunology, or molecular biology module.</w:t>
            </w:r>
          </w:p>
          <w:p>
            <w:pPr>
              <w:spacing w:after="80" w:line="276"/>
            </w:pPr>
            <w:r>
              <w:rPr>
                <w:b/>
                <w:bCs/>
              </w:rPr>
              <w:t xml:space="preserve">Structure: </w:t>
            </w:r>
            <w:r>
              <w:t xml:space="preserve">(1) Present the full narrative from Section 3 (~30 min). (2) Run one discussion activity from Section 4 (~15 min). (3) Introduce the e-learning resources and set expectations for self-directed completion (~5 min). (4) Q&amp;A (~10 min).</w:t>
            </w:r>
          </w:p>
          <w:p>
            <w:pPr>
              <w:spacing w:after="80" w:line="276"/>
            </w:pPr>
            <w:r>
              <w:rPr>
                <w:b/>
                <w:bCs/>
              </w:rPr>
              <w:t xml:space="preserve">Assign afterwards: </w:t>
            </w:r>
            <w:r>
              <w:t xml:space="preserve">E-learning Modules 1–4 (Section 5), with quiz completion as a formative check.</w:t>
            </w:r>
          </w:p>
          <w:p>
            <w:pPr>
              <w:spacing w:after="0" w:line="276"/>
            </w:pPr>
            <w:r>
              <w:rPr>
                <w:b/>
                <w:bCs/>
              </w:rPr>
              <w:t xml:space="preserve">Preparation needed: </w:t>
            </w:r>
            <w:r>
              <w:t xml:space="preserve">Read all of Section 3, select one activity from Section 4, familiarise yourself with the e-learning platform (~30 minutes total).</w:t>
            </w:r>
          </w:p>
        </w:tc>
      </w:tr>
    </w:tbl>
    <w:p>
      <w:pPr>
        <w:spacing w:after="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5090" w:sz="1"/>
              <w:left w:val="single" w:color="2E5090" w:sz="6"/>
              <w:bottom w:val="single" w:color="2E5090" w:sz="1"/>
              <w:right w:val="single" w:color="2E5090" w:sz="1"/>
            </w:tcBorders>
            <w:shd w:fill="E8EEF7" w:val="clear"/>
            <w:tcMar>
              <w:top w:type="dxa" w:w="120"/>
              <w:left w:type="dxa" w:w="200"/>
              <w:bottom w:type="dxa" w:w="120"/>
              <w:right w:type="dxa" w:w="200"/>
            </w:tcMar>
          </w:tcPr>
          <w:p>
            <w:pPr>
              <w:spacing w:after="100"/>
            </w:pPr>
            <w:r>
              <w:rPr>
                <w:b/>
                <w:bCs/>
                <w:color w:val="2E5090"/>
                <w:sz w:val="24"/>
                <w:szCs w:val="24"/>
              </w:rPr>
              <w:t xml:space="preserve">Scenario C: The Two-Hour Workshop</w:t>
            </w:r>
          </w:p>
          <w:p>
            <w:pPr>
              <w:spacing w:after="80" w:line="276"/>
            </w:pPr>
            <w:r>
              <w:rPr>
                <w:b/>
                <w:bCs/>
              </w:rPr>
              <w:t xml:space="preserve">Context: </w:t>
            </w:r>
            <w:r>
              <w:t xml:space="preserve">A dedicated session in a doctoral training programme, CPD day, or research integrity workshop.</w:t>
            </w:r>
          </w:p>
          <w:p>
            <w:pPr>
              <w:spacing w:after="80" w:line="276"/>
            </w:pPr>
            <w:r>
              <w:rPr>
                <w:b/>
                <w:bCs/>
              </w:rPr>
              <w:t xml:space="preserve">Structure: </w:t>
            </w:r>
            <w:r>
              <w:t xml:space="preserve">(1) Present the narrative from Section 3 (~30 min). (2) Run Discussion Activity 1 from Section 4 (~25 min). (3) Break (~10 min). (4) Run Discussion Activity 2 or 3 from Section 4 (~25 min). (5) Whole-group discussion: what will you do differently? (~15 min). (6) Introduce e-learning resources, set expectations, close (~15 min).</w:t>
            </w:r>
          </w:p>
          <w:p>
            <w:pPr>
              <w:spacing w:after="80" w:line="276"/>
            </w:pPr>
            <w:r>
              <w:rPr>
                <w:b/>
                <w:bCs/>
              </w:rPr>
              <w:t xml:space="preserve">Pre-work option: </w:t>
            </w:r>
            <w:r>
              <w:t xml:space="preserve">Ask participants to complete e-learning Module 1 before the session. This allows the in-session time to focus on discussion and application rather than foundational content.</w:t>
            </w:r>
          </w:p>
          <w:p>
            <w:pPr>
              <w:spacing w:after="0" w:line="276"/>
            </w:pPr>
            <w:r>
              <w:rPr>
                <w:b/>
                <w:bCs/>
              </w:rPr>
              <w:t xml:space="preserve">Preparation needed: </w:t>
            </w:r>
            <w:r>
              <w:t xml:space="preserve">Read Sections 3–4, select activities, optionally prepare slides from the talking points (~45 minutes total).</w:t>
            </w:r>
          </w:p>
        </w:tc>
      </w:tr>
    </w:tbl>
    <w:p>
      <w:pPr>
        <w:spacing w:after="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5090" w:sz="1"/>
              <w:left w:val="single" w:color="2E5090" w:sz="6"/>
              <w:bottom w:val="single" w:color="2E5090" w:sz="1"/>
              <w:right w:val="single" w:color="2E5090" w:sz="1"/>
            </w:tcBorders>
            <w:shd w:fill="E8EEF7" w:val="clear"/>
            <w:tcMar>
              <w:top w:type="dxa" w:w="120"/>
              <w:left w:type="dxa" w:w="200"/>
              <w:bottom w:type="dxa" w:w="120"/>
              <w:right w:type="dxa" w:w="200"/>
            </w:tcMar>
          </w:tcPr>
          <w:p>
            <w:pPr>
              <w:spacing w:after="100"/>
            </w:pPr>
            <w:r>
              <w:rPr>
                <w:b/>
                <w:bCs/>
                <w:color w:val="2E5090"/>
                <w:sz w:val="24"/>
                <w:szCs w:val="24"/>
              </w:rPr>
              <w:t xml:space="preserve">Scenario D: Assign and Discuss</w:t>
            </w:r>
          </w:p>
          <w:p>
            <w:pPr>
              <w:spacing w:after="80" w:line="276"/>
            </w:pPr>
            <w:r>
              <w:rPr>
                <w:b/>
                <w:bCs/>
              </w:rPr>
              <w:t xml:space="preserve">Context: </w:t>
            </w:r>
            <w:r>
              <w:t xml:space="preserve">No dedicated lecture time available, but you can assign self-directed learning and follow up in a tutorial, lab meeting, or journal club.</w:t>
            </w:r>
          </w:p>
          <w:p>
            <w:pPr>
              <w:spacing w:after="80" w:line="276"/>
            </w:pPr>
            <w:r>
              <w:rPr>
                <w:b/>
                <w:bCs/>
              </w:rPr>
              <w:t xml:space="preserve">What to assign: </w:t>
            </w:r>
            <w:r>
              <w:t xml:space="preserve">E-learning Modules 1–2 (Section 5), plus one of the reflection questions from Section 6 as a short written response (300–500 words).</w:t>
            </w:r>
          </w:p>
          <w:p>
            <w:pPr>
              <w:spacing w:after="80" w:line="276"/>
            </w:pPr>
            <w:r>
              <w:rPr>
                <w:b/>
                <w:bCs/>
              </w:rPr>
              <w:t xml:space="preserve">Follow-up: </w:t>
            </w:r>
            <w:r>
              <w:t xml:space="preserve">Use 20–30 minutes in a subsequent session to discuss responses. The discussion prompts in Section 4 (Activity 1 in particular) work well for this.</w:t>
            </w:r>
          </w:p>
          <w:p>
            <w:pPr>
              <w:spacing w:after="0" w:line="276"/>
            </w:pPr>
            <w:r>
              <w:rPr>
                <w:b/>
                <w:bCs/>
              </w:rPr>
              <w:t xml:space="preserve">Preparation needed: </w:t>
            </w:r>
            <w:r>
              <w:t xml:space="preserve">Minimal — read the relevant reflection question and Activity 1 prompts (~10 minutes).</w:t>
            </w:r>
          </w:p>
        </w:tc>
      </w:tr>
    </w:tbl>
    <w:p>
      <w:r>
        <w:br w:type="page"/>
      </w:r>
    </w:p>
    <w:p>
      <w:pPr>
        <w:pStyle w:val="Heading1"/>
      </w:pPr>
      <w:r>
        <w:t xml:space="preserve">3. The Case for Change — Structured Talking Points</w:t>
      </w:r>
    </w:p>
    <w:p>
      <w:pPr>
        <w:spacing w:after="120" w:line="276"/>
      </w:pPr>
      <w:r>
        <w:t xml:space="preserve">This section provides the key evidence you need to make the case for why antibody validation matters. It is structured as a narrative that builds from the scale of the problem to its consequences to the emerging solutions. Use it as speaker notes, adapt it into slides, or simply read it to prepare for discussion-based delivery.</w:t>
      </w:r>
    </w:p>
    <w:p>
      <w:pPr>
        <w:spacing w:after="120" w:line="276"/>
      </w:pPr>
      <w:r>
        <w:rPr>
          <w:i/>
          <w:iCs/>
        </w:rPr>
        <w:t xml:space="preserve">Sources are cited throughout. Full references are in the Appendix.</w:t>
      </w:r>
    </w:p>
    <w:p>
      <w:pPr>
        <w:spacing w:after="60"/>
      </w:pPr>
    </w:p>
    <w:p>
      <w:pPr>
        <w:pStyle w:val="Heading2"/>
      </w:pPr>
      <w:r>
        <w:t xml:space="preserve">Part 1: The scale of the problem</w:t>
      </w:r>
    </w:p>
    <w:p>
      <w:pPr>
        <w:spacing w:after="120" w:line="276"/>
      </w:pPr>
      <w:r>
        <w:rPr>
          <w:b/>
          <w:bCs/>
        </w:rPr>
        <w:t xml:space="preserve">Open with a question: </w:t>
      </w:r>
      <w:r>
        <w:rPr>
          <w:i/>
          <w:iCs/>
        </w:rPr>
        <w:t xml:space="preserve">How confident are you that the antibodies you use are detecting what you think they’re detecting?</w:t>
      </w:r>
    </w:p>
    <w:p>
      <w:pPr>
        <w:spacing w:after="120" w:line="276"/>
      </w:pPr>
      <w:r>
        <w:t xml:space="preserve">Antibodies are among the most widely used tools in biomedical research. They underpin techniques from Western blotting and flow cytometry to immunohistochemistry and ELISA. But research antibodies do not always bind exclusively to their intended targets — and the consequences of this are far larger than most researchers realise.</w:t>
      </w:r>
    </w:p>
    <w:p>
      <w:pPr>
        <w:pStyle w:val="Heading3"/>
      </w:pPr>
      <w:r>
        <w:t xml:space="preserve">Key evidence to present:</w:t>
      </w:r>
    </w:p>
    <w:p>
      <w:pPr>
        <w:pStyle w:val="ListParagraph"/>
        <w:numPr>
          <w:ilvl w:val="0"/>
          <w:numId w:val="2"/>
        </w:numPr>
        <w:spacing w:after="80" w:line="276"/>
      </w:pPr>
      <w:r>
        <w:rPr>
          <w:b/>
          <w:bCs/>
        </w:rPr>
        <w:t xml:space="preserve">More than half of antibodies fail independent testing. </w:t>
      </w:r>
      <w:r>
        <w:t xml:space="preserve">When the YCharOS consortium tested 614 commercial antibodies against 65 protein targets using knockout cell lines as controls, greater than 50% failed characterisation in three commonly used applications: Western blot (~50% pass), immunoprecipitation (~44%), and immunofluorescence (~36%). </w:t>
      </w:r>
      <w:r>
        <w:rPr>
          <w:i/>
          <w:iCs/>
        </w:rPr>
        <w:t xml:space="preserve">(Ayoubi et al., eLife, 2023)</w:t>
      </w:r>
    </w:p>
    <w:p>
      <w:pPr>
        <w:pStyle w:val="ListParagraph"/>
        <w:numPr>
          <w:ilvl w:val="0"/>
          <w:numId w:val="2"/>
        </w:numPr>
        <w:spacing w:after="80" w:line="276"/>
      </w:pPr>
      <w:r>
        <w:rPr>
          <w:b/>
          <w:bCs/>
        </w:rPr>
        <w:t xml:space="preserve">The economic cost is staggering. </w:t>
      </w:r>
      <w:r>
        <w:t xml:space="preserve">Irreproducible preclinical research costs an estimated $28.2 billion per year in the United States alone, with biological reagents — especially antibodies — identified as the largest single contributor. Antibody-related failures alone account for an estimated $1 billion annually. </w:t>
      </w:r>
      <w:r>
        <w:rPr>
          <w:i/>
          <w:iCs/>
        </w:rPr>
        <w:t xml:space="preserve">(Freedman et al., PLoS Biology, 2015; Kahn et al., eLife, 2024)</w:t>
      </w:r>
    </w:p>
    <w:p>
      <w:pPr>
        <w:pStyle w:val="ListParagraph"/>
        <w:numPr>
          <w:ilvl w:val="0"/>
          <w:numId w:val="2"/>
        </w:numPr>
        <w:spacing w:after="80" w:line="276"/>
      </w:pPr>
      <w:r>
        <w:rPr>
          <w:b/>
          <w:bCs/>
        </w:rPr>
        <w:t xml:space="preserve">There is a major ethical cost. </w:t>
      </w:r>
      <w:r>
        <w:t xml:space="preserve">A systematic analysis of publications using antibodies that failed independent testing found that at least 8,064 animal samples and 4,424 human tissue samples were consumed in those studies — the vast majority without any presented validation evidence. Conservative extrapolation suggests millions of animal and human tissue samples have been consumed globally in experiments using antibodies that would fail independent testing. </w:t>
      </w:r>
      <w:r>
        <w:rPr>
          <w:i/>
          <w:iCs/>
        </w:rPr>
        <w:t xml:space="preserve">(Biddle, Cooper, Blades et al., 2026)</w:t>
      </w:r>
    </w:p>
    <w:p>
      <w:pPr>
        <w:pStyle w:val="ListParagraph"/>
        <w:numPr>
          <w:ilvl w:val="0"/>
          <w:numId w:val="2"/>
        </w:numPr>
        <w:spacing w:after="80" w:line="276"/>
      </w:pPr>
      <w:r>
        <w:rPr>
          <w:b/>
          <w:bCs/>
        </w:rPr>
        <w:t xml:space="preserve">Citation count does not predict quality. </w:t>
      </w:r>
      <w:r>
        <w:t xml:space="preserve">Each protein target was linked to an average of approximately 12 published papers using poorly performing antibodies, perpetuating the cycle. Being highly cited is no guarantee of performance. </w:t>
      </w:r>
      <w:r>
        <w:rPr>
          <w:i/>
          <w:iCs/>
        </w:rPr>
        <w:t xml:space="preserve">(Ayoubi et al., 2023)</w:t>
      </w:r>
    </w:p>
    <w:p>
      <w:pPr>
        <w:spacing w:after="120" w:line="276"/>
      </w:pPr>
      <w:r>
        <w:rPr>
          <w:b/>
          <w:bCs/>
        </w:rPr>
        <w:t xml:space="preserve">The key message: </w:t>
      </w:r>
      <w:r>
        <w:t xml:space="preserve">This is not a niche problem. If you use antibodies in your research, there is a meaningful probability that at least some of them are not performing as assumed.</w:t>
      </w:r>
    </w:p>
    <w:p>
      <w:pPr>
        <w:spacing w:after="60"/>
      </w:pPr>
    </w:p>
    <w:p>
      <w:pPr>
        <w:pStyle w:val="Heading2"/>
      </w:pPr>
      <w:r>
        <w:t xml:space="preserve">Part 2: Why does this persist?</w:t>
      </w:r>
    </w:p>
    <w:p>
      <w:pPr>
        <w:spacing w:after="120" w:line="276"/>
      </w:pPr>
      <w:r>
        <w:rPr>
          <w:b/>
          <w:bCs/>
        </w:rPr>
        <w:t xml:space="preserve">Open with a question: </w:t>
      </w:r>
      <w:r>
        <w:rPr>
          <w:i/>
          <w:iCs/>
        </w:rPr>
        <w:t xml:space="preserve">Think about the last time you chose an antibody for an experiment. What was the single biggest factor in that decision?</w:t>
      </w:r>
    </w:p>
    <w:p>
      <w:pPr>
        <w:spacing w:after="120" w:line="276"/>
      </w:pPr>
      <w:r>
        <w:t xml:space="preserve">Research with antibody-using researchers reveals that antibody selection is substantially driven by social and convenience factors rather than systematic evaluation of performance data.</w:t>
      </w:r>
    </w:p>
    <w:p>
      <w:pPr>
        <w:pStyle w:val="Heading3"/>
      </w:pPr>
      <w:r>
        <w:t xml:space="preserve">Key evidence to present:</w:t>
      </w:r>
    </w:p>
    <w:p>
      <w:pPr>
        <w:pStyle w:val="ListParagraph"/>
        <w:numPr>
          <w:ilvl w:val="0"/>
          <w:numId w:val="2"/>
        </w:numPr>
        <w:spacing w:after="80" w:line="276"/>
      </w:pPr>
      <w:r>
        <w:rPr>
          <w:b/>
          <w:bCs/>
        </w:rPr>
        <w:t xml:space="preserve">Previous lab use and supervisor direction dominate selection decisions. </w:t>
      </w:r>
      <w:r>
        <w:t xml:space="preserve">When 107 researchers were surveyed, ‘previous use within your laboratory’ and ‘reputation of antibody supplier’ ranked as the most important purchasing factors. Direct engagement with validation data ranked lower. Supervisor direction was identified as one of the strongest influences on antibody choices. </w:t>
      </w:r>
      <w:r>
        <w:rPr>
          <w:i/>
          <w:iCs/>
        </w:rPr>
        <w:t xml:space="preserve">(Biddle, Cooper, Blades et al., 2026)</w:t>
      </w:r>
    </w:p>
    <w:p>
      <w:pPr>
        <w:pStyle w:val="ListParagraph"/>
        <w:numPr>
          <w:ilvl w:val="0"/>
          <w:numId w:val="2"/>
        </w:numPr>
        <w:spacing w:after="80" w:line="276"/>
      </w:pPr>
      <w:r>
        <w:rPr>
          <w:b/>
          <w:bCs/>
        </w:rPr>
        <w:t xml:space="preserve">Lab culture is a recognised barrier. </w:t>
      </w:r>
      <w:r>
        <w:t xml:space="preserve">54% of surveyed researchers rated lab culture as a barrier to better validation practices. If a student is trained to validate antibodies but the PI or senior lab members do not prioritise it, it will not be done. </w:t>
      </w:r>
      <w:r>
        <w:rPr>
          <w:i/>
          <w:iCs/>
        </w:rPr>
        <w:t xml:space="preserve">(Biddle, Cooper, Blades et al., 2026)</w:t>
      </w:r>
    </w:p>
    <w:p>
      <w:pPr>
        <w:pStyle w:val="ListParagraph"/>
        <w:numPr>
          <w:ilvl w:val="0"/>
          <w:numId w:val="2"/>
        </w:numPr>
        <w:spacing w:after="80" w:line="276"/>
      </w:pPr>
      <w:r>
        <w:rPr>
          <w:b/>
          <w:bCs/>
        </w:rPr>
        <w:t xml:space="preserve">Most researchers are unaware of existing validation frameworks. </w:t>
      </w:r>
      <w:r>
        <w:t xml:space="preserve">Two-thirds of researchers in the survey were unaware of the IWGAV (International Working Group on Antibody Validation) five-pillar framework — nearly a decade after its publication. </w:t>
      </w:r>
      <w:r>
        <w:rPr>
          <w:i/>
          <w:iCs/>
        </w:rPr>
        <w:t xml:space="preserve">(Biddle, Cooper, Blades et al., 2026)</w:t>
      </w:r>
    </w:p>
    <w:p>
      <w:pPr>
        <w:pStyle w:val="ListParagraph"/>
        <w:numPr>
          <w:ilvl w:val="0"/>
          <w:numId w:val="2"/>
        </w:numPr>
        <w:spacing w:after="80" w:line="276"/>
      </w:pPr>
      <w:r>
        <w:rPr>
          <w:b/>
          <w:bCs/>
        </w:rPr>
        <w:t xml:space="preserve">There is a striking gap between self-reported and actual practice. </w:t>
      </w:r>
      <w:r>
        <w:t xml:space="preserve">72% of surveyed researchers reported having used at least one recommended validation method. Yet in a systematic review of 760 publications using antibodies with demonstrated poor performance, only 15.8% presented any validation evidence. What researchers say they do and what the published literature shows are starkly different. </w:t>
      </w:r>
      <w:r>
        <w:rPr>
          <w:i/>
          <w:iCs/>
        </w:rPr>
        <w:t xml:space="preserve">(Biddle, Cooper, Blades et al., 2026)</w:t>
      </w:r>
    </w:p>
    <w:p>
      <w:pPr>
        <w:spacing w:after="120" w:line="276"/>
      </w:pPr>
      <w:r>
        <w:rPr>
          <w:b/>
          <w:bCs/>
        </w:rPr>
        <w:t xml:space="preserve">The key message: </w:t>
      </w:r>
      <w:r>
        <w:t xml:space="preserve">The problem is not primarily technical ignorance. It is a combination of social dynamics (lab culture, supervisor influence), misplaced trust (in citations and brand names), and structural factors (lack of training, lack of time, lack of incentive). These are things that can be changed — starting with awareness.</w:t>
      </w:r>
    </w:p>
    <w:p>
      <w:pPr>
        <w:spacing w:after="60"/>
      </w:pPr>
    </w:p>
    <w:p>
      <w:pPr>
        <w:pStyle w:val="Heading2"/>
      </w:pPr>
      <w:r>
        <w:t xml:space="preserve">Part 3: What does good practice look like?</w:t>
      </w:r>
    </w:p>
    <w:p>
      <w:pPr>
        <w:spacing w:after="120" w:line="276"/>
      </w:pPr>
      <w:r>
        <w:t xml:space="preserve">This section can be kept brief in a taught session because the e-learning modules cover the technical detail. The goal here is to give students a sense of what is achievable and where to go for depth.</w:t>
      </w:r>
    </w:p>
    <w:p>
      <w:pPr>
        <w:pStyle w:val="Heading3"/>
      </w:pPr>
      <w:r>
        <w:t xml:space="preserve">Key points:</w:t>
      </w:r>
    </w:p>
    <w:p>
      <w:pPr>
        <w:pStyle w:val="ListParagraph"/>
        <w:numPr>
          <w:ilvl w:val="0"/>
          <w:numId w:val="2"/>
        </w:numPr>
        <w:spacing w:after="80" w:line="276"/>
      </w:pPr>
      <w:r>
        <w:rPr>
          <w:b/>
          <w:bCs/>
        </w:rPr>
        <w:t xml:space="preserve">Recombinant antibodies consistently outperform other types. </w:t>
      </w:r>
      <w:r>
        <w:t xml:space="preserve">In the YCharOS dataset, recombinant antibodies had the highest pass rates across all applications tested. They are also fully renewable and sequence-defined, eliminating batch-to-batch variability. </w:t>
      </w:r>
      <w:r>
        <w:rPr>
          <w:i/>
          <w:iCs/>
        </w:rPr>
        <w:t xml:space="preserve">(Ayoubi et al., 2023)</w:t>
      </w:r>
    </w:p>
    <w:p>
      <w:pPr>
        <w:pStyle w:val="ListParagraph"/>
        <w:numPr>
          <w:ilvl w:val="0"/>
          <w:numId w:val="2"/>
        </w:numPr>
        <w:spacing w:after="80" w:line="276"/>
      </w:pPr>
      <w:r>
        <w:rPr>
          <w:b/>
          <w:bCs/>
        </w:rPr>
        <w:t xml:space="preserve">Genetic validation (knockout/knockdown controls) is the strongest available evidence. </w:t>
      </w:r>
      <w:r>
        <w:t xml:space="preserve">Antibodies with vendor-supplied genetic validation data had markedly higher success rates when independently tested. This was the most predictive type of evidence. </w:t>
      </w:r>
      <w:r>
        <w:rPr>
          <w:i/>
          <w:iCs/>
        </w:rPr>
        <w:t xml:space="preserve">(Ayoubi et al., 2023)</w:t>
      </w:r>
    </w:p>
    <w:p>
      <w:pPr>
        <w:pStyle w:val="ListParagraph"/>
        <w:numPr>
          <w:ilvl w:val="0"/>
          <w:numId w:val="2"/>
        </w:numPr>
        <w:spacing w:after="80" w:line="276"/>
      </w:pPr>
      <w:r>
        <w:rPr>
          <w:b/>
          <w:bCs/>
        </w:rPr>
        <w:t xml:space="preserve">Validation is context-specific. </w:t>
      </w:r>
      <w:r>
        <w:t xml:space="preserve">An antibody validated for Western blot is not necessarily validated for immunofluorescence. Performance must be confirmed for each application, sample type, and protocol. This is a fundamental point that is often overlooked.</w:t>
      </w:r>
    </w:p>
    <w:p>
      <w:pPr>
        <w:pStyle w:val="ListParagraph"/>
        <w:numPr>
          <w:ilvl w:val="0"/>
          <w:numId w:val="2"/>
        </w:numPr>
        <w:spacing w:after="80" w:line="276"/>
      </w:pPr>
      <w:r>
        <w:rPr>
          <w:b/>
          <w:bCs/>
        </w:rPr>
        <w:t xml:space="preserve">Open data resources exist. </w:t>
      </w:r>
      <w:r>
        <w:t xml:space="preserve">Databases and platforms are now available that provide standardised, independent antibody characterisation data (see Section 5). These make it possible to check antibody performance before purchasing.</w:t>
      </w:r>
    </w:p>
    <w:p>
      <w:pPr>
        <w:spacing w:after="120" w:line="276"/>
      </w:pPr>
      <w:r>
        <w:rPr>
          <w:b/>
          <w:bCs/>
        </w:rPr>
        <w:t xml:space="preserve">The key message: </w:t>
      </w:r>
      <w:r>
        <w:t xml:space="preserve">Better antibody choices are within reach. The tools and data exist. What is needed is the awareness and motivation to use them — and the institutional and supervisory culture that supports doing so.</w:t>
      </w:r>
    </w:p>
    <w:p>
      <w:pPr>
        <w:spacing w:after="60"/>
      </w:pPr>
    </w:p>
    <w:p>
      <w:pPr>
        <w:pStyle w:val="Heading2"/>
      </w:pPr>
      <w:r>
        <w:t xml:space="preserve">Part 4: What is changing?</w:t>
      </w:r>
    </w:p>
    <w:p>
      <w:pPr>
        <w:spacing w:after="120" w:line="276"/>
      </w:pPr>
      <w:r>
        <w:t xml:space="preserve">Close by making the case that this is a field in active reform, and that the students in the room are entering research at exactly the moment when these expectations are being formalised.</w:t>
      </w:r>
    </w:p>
    <w:p>
      <w:pPr>
        <w:pStyle w:val="Heading3"/>
      </w:pPr>
      <w:r>
        <w:t xml:space="preserve">Key points:</w:t>
      </w:r>
    </w:p>
    <w:p>
      <w:pPr>
        <w:pStyle w:val="ListParagraph"/>
        <w:numPr>
          <w:ilvl w:val="0"/>
          <w:numId w:val="2"/>
        </w:numPr>
        <w:spacing w:after="80" w:line="276"/>
      </w:pPr>
      <w:r>
        <w:rPr>
          <w:b/>
          <w:bCs/>
        </w:rPr>
        <w:t xml:space="preserve">A Delphi consensus study with 32 international experts </w:t>
      </w:r>
      <w:r>
        <w:t xml:space="preserve">has produced 15 recommendations rated as both effective and feasible for implementation by 2030. These span publishers, funders, institutions, and manufacturers. All three institutional recommendations achieved full consensus: training in antibody validation, integration into research integrity frameworks, and support for local expertise networks. </w:t>
      </w:r>
      <w:r>
        <w:rPr>
          <w:i/>
          <w:iCs/>
        </w:rPr>
        <w:t xml:space="preserve">(Blades, Biddle, Froud, Krockow &amp; Virk, 2026)</w:t>
      </w:r>
    </w:p>
    <w:p>
      <w:pPr>
        <w:pStyle w:val="ListParagraph"/>
        <w:numPr>
          <w:ilvl w:val="0"/>
          <w:numId w:val="2"/>
        </w:numPr>
        <w:spacing w:after="80" w:line="276"/>
      </w:pPr>
      <w:r>
        <w:rPr>
          <w:b/>
          <w:bCs/>
        </w:rPr>
        <w:t xml:space="preserve">Funders are expected to start requiring validation plans in grant applications. </w:t>
      </w:r>
      <w:r>
        <w:t xml:space="preserve">Six funder-directed recommendations achieved consensus, including requiring applicants to detail validation steps, allocating specific budget for validation, and endorsing community reporting standards.</w:t>
      </w:r>
    </w:p>
    <w:p>
      <w:pPr>
        <w:pStyle w:val="ListParagraph"/>
        <w:numPr>
          <w:ilvl w:val="0"/>
          <w:numId w:val="2"/>
        </w:numPr>
        <w:spacing w:after="80" w:line="276"/>
      </w:pPr>
      <w:r>
        <w:rPr>
          <w:b/>
          <w:bCs/>
        </w:rPr>
        <w:t xml:space="preserve">Journals are moving toward clearer reporting standards. </w:t>
      </w:r>
      <w:r>
        <w:t xml:space="preserve">The consensus includes requiring complete antibody metadata (RRID, clone ID, catalogue/lot number, vendor) and antibody dilution/concentration for every antibody used.</w:t>
      </w:r>
    </w:p>
    <w:p>
      <w:pPr>
        <w:pStyle w:val="ListParagraph"/>
        <w:numPr>
          <w:ilvl w:val="0"/>
          <w:numId w:val="2"/>
        </w:numPr>
        <w:spacing w:after="80" w:line="276"/>
      </w:pPr>
      <w:r>
        <w:rPr>
          <w:b/>
          <w:bCs/>
        </w:rPr>
        <w:t xml:space="preserve">The approach is staged: enablement first, then expectation, then mandate. </w:t>
      </w:r>
      <w:r>
        <w:t xml:space="preserve">The expert panel endorsed building training, resources, and infrastructure before introducing requirements and enforcement. This means the window for learning these skills voluntarily is now — before they become mandatory.</w:t>
      </w:r>
    </w:p>
    <w:p>
      <w:pPr>
        <w:spacing w:after="120" w:line="276"/>
      </w:pPr>
      <w:r>
        <w:rPr>
          <w:b/>
          <w:bCs/>
        </w:rPr>
        <w:t xml:space="preserve">The key message: </w:t>
      </w:r>
      <w:r>
        <w:t xml:space="preserve">The research ecosystem is changing. Understanding antibody validation now positions you ahead of emerging requirements from funders, publishers, and institutions. This is not optional knowledge for much longer.</w:t>
      </w:r>
    </w:p>
    <w:p>
      <w:r>
        <w:br w:type="page"/>
      </w:r>
    </w:p>
    <w:p>
      <w:pPr>
        <w:pStyle w:val="Heading1"/>
      </w:pPr>
      <w:r>
        <w:t xml:space="preserve">4. Discussion Activities and Case Studies</w:t>
      </w:r>
    </w:p>
    <w:p>
      <w:pPr>
        <w:spacing w:after="120" w:line="276"/>
      </w:pPr>
      <w:r>
        <w:t xml:space="preserve">These activities are designed to work with groups of any size. Each can be run independently. Choose one for a lecture slot, two or more for a workshop.</w:t>
      </w:r>
    </w:p>
    <w:p>
      <w:pPr>
        <w:spacing w:after="60"/>
      </w:pPr>
    </w:p>
    <w:p>
      <w:pPr>
        <w:pStyle w:val="Heading2"/>
      </w:pPr>
      <w:r>
        <w:t xml:space="preserve">Activity 1: The Say–Do Gap</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line="276"/>
            </w:pPr>
            <w:r>
              <w:t xml:space="preserve">Format</w:t>
            </w:r>
          </w:p>
        </w:tc>
        <w:tc>
          <w:tcPr>
            <w:tcW w:type="dxa" w:w="65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line="276"/>
            </w:pPr>
            <w:r>
              <w:t xml:space="preserve">Small group discussion (3–5 per group), then whole-group debrief</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line="276"/>
            </w:pPr>
            <w:r>
              <w:t xml:space="preserve">Time</w:t>
            </w:r>
          </w:p>
        </w:tc>
        <w:tc>
          <w:tcPr>
            <w:tcW w:type="dxa" w:w="65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line="276"/>
            </w:pPr>
            <w:r>
              <w:t xml:space="preserve">15–20 minutes</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line="276"/>
            </w:pPr>
            <w:r>
              <w:t xml:space="preserve">Materials</w:t>
            </w:r>
          </w:p>
        </w:tc>
        <w:tc>
          <w:tcPr>
            <w:tcW w:type="dxa" w:w="65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line="276"/>
            </w:pPr>
            <w:r>
              <w:t xml:space="preserve">None required</w:t>
            </w:r>
          </w:p>
        </w:tc>
      </w:tr>
    </w:tbl>
    <w:p>
      <w:pPr>
        <w:spacing w:after="60"/>
      </w:pPr>
    </w:p>
    <w:p>
      <w:pPr>
        <w:pStyle w:val="Heading3"/>
      </w:pPr>
      <w:r>
        <w:t xml:space="preserve">Setup:</w:t>
      </w:r>
    </w:p>
    <w:p>
      <w:pPr>
        <w:spacing w:after="120" w:line="276"/>
      </w:pPr>
      <w:r>
        <w:t xml:space="preserve">Present these two findings to the group:</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5090" w:sz="1"/>
              <w:left w:val="single" w:color="2E5090" w:sz="6"/>
              <w:bottom w:val="single" w:color="2E5090" w:sz="1"/>
              <w:right w:val="single" w:color="2E5090" w:sz="1"/>
            </w:tcBorders>
            <w:shd w:fill="E8EEF7" w:val="clear"/>
            <w:tcMar>
              <w:top w:type="dxa" w:w="120"/>
              <w:left w:type="dxa" w:w="200"/>
              <w:bottom w:type="dxa" w:w="120"/>
              <w:right w:type="dxa" w:w="200"/>
            </w:tcMar>
          </w:tcPr>
          <w:p>
            <w:pPr>
              <w:spacing w:after="100" w:line="276"/>
            </w:pPr>
            <w:r>
              <w:rPr>
                <w:b/>
                <w:bCs/>
              </w:rPr>
              <w:t xml:space="preserve">Finding 1: </w:t>
            </w:r>
            <w:r>
              <w:t xml:space="preserve">In a survey of 107 antibody-using researchers, 72% reported having used at least one recommended validation method (e.g., knockout controls, orthogonal methods, independent antibodies).</w:t>
            </w:r>
          </w:p>
          <w:p>
            <w:pPr>
              <w:spacing w:after="0" w:line="276"/>
            </w:pPr>
            <w:r>
              <w:rPr>
                <w:b/>
                <w:bCs/>
              </w:rPr>
              <w:t xml:space="preserve">Finding 2: </w:t>
            </w:r>
            <w:r>
              <w:t xml:space="preserve">In a systematic analysis of 760 publications using antibodies with demonstrated poor performance, only 15.8% (120 papers) presented any validation evidence for the antibody used.</w:t>
            </w:r>
          </w:p>
        </w:tc>
      </w:tr>
    </w:tbl>
    <w:p>
      <w:pPr>
        <w:spacing w:after="60"/>
      </w:pPr>
    </w:p>
    <w:p>
      <w:pPr>
        <w:pStyle w:val="Heading3"/>
      </w:pPr>
      <w:r>
        <w:t xml:space="preserve">Discussion prompts:</w:t>
      </w:r>
    </w:p>
    <w:p>
      <w:pPr>
        <w:pStyle w:val="ListParagraph"/>
        <w:numPr>
          <w:ilvl w:val="0"/>
          <w:numId w:val="3"/>
        </w:numPr>
        <w:spacing w:after="80" w:line="276"/>
      </w:pPr>
      <w:r>
        <w:t xml:space="preserve">Why might there be such a large gap between what researchers report doing and what the published literature shows?</w:t>
      </w:r>
    </w:p>
    <w:p>
      <w:pPr>
        <w:pStyle w:val="ListParagraph"/>
        <w:numPr>
          <w:ilvl w:val="0"/>
          <w:numId w:val="3"/>
        </w:numPr>
        <w:spacing w:after="80" w:line="276"/>
      </w:pPr>
      <w:r>
        <w:t xml:space="preserve">Think about the lab culture where you work (or have worked). Would validation be prioritised, tolerated, or discouraged? What drives that?</w:t>
      </w:r>
    </w:p>
    <w:p>
      <w:pPr>
        <w:pStyle w:val="ListParagraph"/>
        <w:numPr>
          <w:ilvl w:val="0"/>
          <w:numId w:val="3"/>
        </w:numPr>
        <w:spacing w:after="80" w:line="276"/>
      </w:pPr>
      <w:r>
        <w:t xml:space="preserve">If a PhD student wanted to spend an extra week validating a key antibody before starting their main experiment, what barriers might they face? From whom?</w:t>
      </w:r>
    </w:p>
    <w:p>
      <w:pPr>
        <w:pStyle w:val="ListParagraph"/>
        <w:numPr>
          <w:ilvl w:val="0"/>
          <w:numId w:val="3"/>
        </w:numPr>
        <w:spacing w:after="120" w:line="276"/>
      </w:pPr>
      <w:r>
        <w:t xml:space="preserve">Researchers themselves rated open data sharing, dedicated validation funding, and publisher requirements as the solutions they most support. Why might researchers want external structures to enforce what they already believe is important?</w:t>
      </w:r>
    </w:p>
    <w:p>
      <w:pPr>
        <w:pStyle w:val="Heading3"/>
      </w:pPr>
      <w:r>
        <w:t xml:space="preserve">Facilitator notes:</w:t>
      </w:r>
    </w:p>
    <w:p>
      <w:pPr>
        <w:spacing w:after="120" w:line="276"/>
      </w:pPr>
      <w:r>
        <w:t xml:space="preserve">The point of this activity is not to blame researchers, but to surface the </w:t>
      </w:r>
      <w:r>
        <w:rPr>
          <w:i/>
          <w:iCs/>
        </w:rPr>
        <w:t xml:space="preserve">structural</w:t>
      </w:r>
      <w:r>
        <w:t xml:space="preserve"> reasons why good intentions do not translate to good practice. The most productive discussions typically converge on time pressure, supervisor expectations, and the lack of reward for rigorous validation. This is a behavioural and cultural problem, not a technical one.</w:t>
      </w:r>
    </w:p>
    <w:p>
      <w:pPr>
        <w:spacing w:after="60"/>
      </w:pPr>
    </w:p>
    <w:p>
      <w:pPr>
        <w:pStyle w:val="Heading2"/>
      </w:pPr>
      <w:r>
        <w:t xml:space="preserve">Activity 2: Which Antibody Would You Choose?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line="276"/>
            </w:pPr>
            <w:r>
              <w:t xml:space="preserve">Format</w:t>
            </w:r>
          </w:p>
        </w:tc>
        <w:tc>
          <w:tcPr>
            <w:tcW w:type="dxa" w:w="65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line="276"/>
            </w:pPr>
            <w:r>
              <w:t xml:space="preserve">Individual reflection, then pair discussion, then whole-group debrief</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line="276"/>
            </w:pPr>
            <w:r>
              <w:t xml:space="preserve">Time</w:t>
            </w:r>
          </w:p>
        </w:tc>
        <w:tc>
          <w:tcPr>
            <w:tcW w:type="dxa" w:w="65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line="276"/>
            </w:pPr>
            <w:r>
              <w:t xml:space="preserve">20–25 minutes</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line="276"/>
            </w:pPr>
            <w:r>
              <w:t xml:space="preserve">Materials</w:t>
            </w:r>
          </w:p>
        </w:tc>
        <w:tc>
          <w:tcPr>
            <w:tcW w:type="dxa" w:w="65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line="276"/>
            </w:pPr>
            <w:r>
              <w:t xml:space="preserve">Handout or slide showing the scenario below</w:t>
            </w:r>
          </w:p>
        </w:tc>
      </w:tr>
    </w:tbl>
    <w:p>
      <w:pPr>
        <w:spacing w:after="60"/>
      </w:pPr>
    </w:p>
    <w:p>
      <w:pPr>
        <w:pStyle w:val="Heading3"/>
      </w:pPr>
      <w:r>
        <w:t xml:space="preserve">Scenario:</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5090" w:sz="1"/>
              <w:left w:val="single" w:color="2E5090" w:sz="6"/>
              <w:bottom w:val="single" w:color="2E5090" w:sz="1"/>
              <w:right w:val="single" w:color="2E5090" w:sz="1"/>
            </w:tcBorders>
            <w:shd w:fill="E8EEF7" w:val="clear"/>
            <w:tcMar>
              <w:top w:type="dxa" w:w="120"/>
              <w:left w:type="dxa" w:w="200"/>
              <w:bottom w:type="dxa" w:w="120"/>
              <w:right w:type="dxa" w:w="200"/>
            </w:tcMar>
          </w:tcPr>
          <w:p>
            <w:pPr>
              <w:spacing w:after="100" w:line="276"/>
            </w:pPr>
            <w:r>
              <w:t xml:space="preserve">You are a PhD student planning a key immunofluorescence experiment on a novel cell type. You need an antibody against Protein X. You search online and find five options:</w:t>
            </w:r>
          </w:p>
          <w:p>
            <w:pPr>
              <w:spacing w:after="60" w:line="276"/>
            </w:pPr>
            <w:r>
              <w:rPr>
                <w:b/>
                <w:bCs/>
              </w:rPr>
              <w:t xml:space="preserve">Antibody A: </w:t>
            </w:r>
            <w:r>
              <w:t xml:space="preserve">Polyclonal. Cited in 200+ papers. Your supervisor used it in their postdoc. No independent validation data available.</w:t>
            </w:r>
          </w:p>
          <w:p>
            <w:pPr>
              <w:spacing w:after="60" w:line="276"/>
            </w:pPr>
            <w:r>
              <w:rPr>
                <w:b/>
                <w:bCs/>
              </w:rPr>
              <w:t xml:space="preserve">Antibody B: </w:t>
            </w:r>
            <w:r>
              <w:t xml:space="preserve">Recombinant monoclonal. Cited in 12 papers. Vendor provides knockout validation data for Western blot, but not for immunofluorescence.</w:t>
            </w:r>
          </w:p>
          <w:p>
            <w:pPr>
              <w:spacing w:after="60" w:line="276"/>
            </w:pPr>
            <w:r>
              <w:rPr>
                <w:b/>
                <w:bCs/>
              </w:rPr>
              <w:t xml:space="preserve">Antibody C: </w:t>
            </w:r>
            <w:r>
              <w:t xml:space="preserve">Monoclonal. Cited in 50 papers. An independent database shows it passed characterisation in immunofluorescence using knockout controls.</w:t>
            </w:r>
          </w:p>
          <w:p>
            <w:pPr>
              <w:spacing w:after="60" w:line="276"/>
            </w:pPr>
            <w:r>
              <w:rPr>
                <w:b/>
                <w:bCs/>
              </w:rPr>
              <w:t xml:space="preserve">Antibody D: </w:t>
            </w:r>
            <w:r>
              <w:t xml:space="preserve">Recombinant monoclonal. Cited in 3 papers. The same independent database shows it passed characterisation in immunofluorescence, Western blot, and immunoprecipitation.</w:t>
            </w:r>
          </w:p>
          <w:p>
            <w:pPr>
              <w:spacing w:after="0" w:line="276"/>
            </w:pPr>
            <w:r>
              <w:rPr>
                <w:b/>
                <w:bCs/>
              </w:rPr>
              <w:t xml:space="preserve">Antibody E: </w:t>
            </w:r>
            <w:r>
              <w:t xml:space="preserve">Polyclonal. Very cheap. The vendor website says ‘validated for IF’ but provides no supporting data.</w:t>
            </w:r>
          </w:p>
        </w:tc>
      </w:tr>
    </w:tbl>
    <w:p>
      <w:pPr>
        <w:spacing w:after="60"/>
      </w:pPr>
    </w:p>
    <w:p>
      <w:pPr>
        <w:pStyle w:val="Heading3"/>
      </w:pPr>
      <w:r>
        <w:t xml:space="preserve">Discussion prompts:</w:t>
      </w:r>
    </w:p>
    <w:p>
      <w:pPr>
        <w:pStyle w:val="ListParagraph"/>
        <w:numPr>
          <w:ilvl w:val="0"/>
          <w:numId w:val="4"/>
        </w:numPr>
        <w:spacing w:after="80" w:line="276"/>
      </w:pPr>
      <w:r>
        <w:t xml:space="preserve">Which antibody would you choose, and why? Which would you rule out first?</w:t>
      </w:r>
    </w:p>
    <w:p>
      <w:pPr>
        <w:pStyle w:val="ListParagraph"/>
        <w:numPr>
          <w:ilvl w:val="0"/>
          <w:numId w:val="4"/>
        </w:numPr>
        <w:spacing w:after="80" w:line="276"/>
      </w:pPr>
      <w:r>
        <w:t xml:space="preserve">Your supervisor strongly recommends Antibody A because ‘it’s what we always use.’ How would you respond?</w:t>
      </w:r>
    </w:p>
    <w:p>
      <w:pPr>
        <w:pStyle w:val="ListParagraph"/>
        <w:numPr>
          <w:ilvl w:val="0"/>
          <w:numId w:val="4"/>
        </w:numPr>
        <w:spacing w:after="80" w:line="276"/>
      </w:pPr>
      <w:r>
        <w:t xml:space="preserve">Antibody D has the strongest validation evidence but very few citations. Does this concern you? Why or why not?</w:t>
      </w:r>
    </w:p>
    <w:p>
      <w:pPr>
        <w:pStyle w:val="ListParagraph"/>
        <w:numPr>
          <w:ilvl w:val="0"/>
          <w:numId w:val="4"/>
        </w:numPr>
        <w:spacing w:after="120" w:line="276"/>
      </w:pPr>
      <w:r>
        <w:t xml:space="preserve">What additional information would you want before making a final decision?</w:t>
      </w:r>
    </w:p>
    <w:p>
      <w:pPr>
        <w:pStyle w:val="Heading3"/>
      </w:pPr>
      <w:r>
        <w:t xml:space="preserve">Facilitator notes:</w:t>
      </w:r>
    </w:p>
    <w:p>
      <w:pPr>
        <w:spacing w:after="120" w:line="276"/>
      </w:pPr>
      <w:r>
        <w:t xml:space="preserve">There is no single correct answer, but the discussion should surface the tension between social proof (citations, supervisor preference) and evidence (independent characterisation data). Antibodies C and D are the strongest choices based on evidence; A is the most commonly chosen in practice. The point is not that citations are meaningless, but that they are a proxy for popularity, not performance. Students should articulate </w:t>
      </w:r>
      <w:r>
        <w:rPr>
          <w:i/>
          <w:iCs/>
        </w:rPr>
        <w:t xml:space="preserve">what kind of evidence</w:t>
      </w:r>
      <w:r>
        <w:t xml:space="preserve"> they would need and where they would look for it.</w:t>
      </w:r>
    </w:p>
    <w:p>
      <w:pPr>
        <w:spacing w:after="60"/>
      </w:pPr>
    </w:p>
    <w:p>
      <w:pPr>
        <w:pStyle w:val="Heading2"/>
      </w:pPr>
      <w:r>
        <w:t xml:space="preserve">Activity 3: The Ethical Dimension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line="276"/>
            </w:pPr>
            <w:r>
              <w:t xml:space="preserve">Format</w:t>
            </w:r>
          </w:p>
        </w:tc>
        <w:tc>
          <w:tcPr>
            <w:tcW w:type="dxa" w:w="65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line="276"/>
            </w:pPr>
            <w:r>
              <w:t xml:space="preserve">Small group discussion or written reflection</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line="276"/>
            </w:pPr>
            <w:r>
              <w:t xml:space="preserve">Time</w:t>
            </w:r>
          </w:p>
        </w:tc>
        <w:tc>
          <w:tcPr>
            <w:tcW w:type="dxa" w:w="65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line="276"/>
            </w:pPr>
            <w:r>
              <w:t xml:space="preserve">15–20 minutes</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line="276"/>
            </w:pPr>
            <w:r>
              <w:t xml:space="preserve">Materials</w:t>
            </w:r>
          </w:p>
        </w:tc>
        <w:tc>
          <w:tcPr>
            <w:tcW w:type="dxa" w:w="65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line="276"/>
            </w:pPr>
            <w:r>
              <w:t xml:space="preserve">None required</w:t>
            </w:r>
          </w:p>
        </w:tc>
      </w:tr>
    </w:tbl>
    <w:p>
      <w:pPr>
        <w:spacing w:after="60"/>
      </w:pPr>
    </w:p>
    <w:p>
      <w:pPr>
        <w:pStyle w:val="Heading3"/>
      </w:pPr>
      <w:r>
        <w:t xml:space="preserve">Setup:</w:t>
      </w:r>
    </w:p>
    <w:p>
      <w:pPr>
        <w:spacing w:after="120" w:line="276"/>
      </w:pPr>
      <w:r>
        <w:t xml:space="preserve">Present the following to the group:</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5090" w:sz="1"/>
              <w:left w:val="single" w:color="2E5090" w:sz="6"/>
              <w:bottom w:val="single" w:color="2E5090" w:sz="1"/>
              <w:right w:val="single" w:color="2E5090" w:sz="1"/>
            </w:tcBorders>
            <w:shd w:fill="E8EEF7" w:val="clear"/>
            <w:tcMar>
              <w:top w:type="dxa" w:w="120"/>
              <w:left w:type="dxa" w:w="200"/>
              <w:bottom w:type="dxa" w:w="120"/>
              <w:right w:type="dxa" w:w="200"/>
            </w:tcMar>
          </w:tcPr>
          <w:p>
            <w:pPr>
              <w:spacing w:after="100" w:line="276"/>
            </w:pPr>
            <w:r>
              <w:t xml:space="preserve">A systematic analysis traced 97 antibodies that failed all applications when independently tested with knockout controls. Of the 760 publications using these antibodies where validation status could be confirmed, 640 (84.2%) presented no validation evidence. Those 640 papers consumed a minimum of 8,064 animal samples and 4,424 human tissue samples. The antibodies in question have since been discontinued by some manufacturers — but many remain on sale.</w:t>
            </w:r>
          </w:p>
        </w:tc>
      </w:tr>
    </w:tbl>
    <w:p>
      <w:pPr>
        <w:spacing w:after="60"/>
      </w:pPr>
    </w:p>
    <w:p>
      <w:pPr>
        <w:pStyle w:val="Heading3"/>
      </w:pPr>
      <w:r>
        <w:t xml:space="preserve">Discussion prompts:</w:t>
      </w:r>
    </w:p>
    <w:p>
      <w:pPr>
        <w:pStyle w:val="ListParagraph"/>
        <w:numPr>
          <w:ilvl w:val="0"/>
          <w:numId w:val="5"/>
        </w:numPr>
        <w:spacing w:after="80" w:line="276"/>
      </w:pPr>
      <w:r>
        <w:t xml:space="preserve">Is the waste of biological samples in experiments using poorly performing antibodies an ethical issue? Who bears responsibility?</w:t>
      </w:r>
    </w:p>
    <w:p>
      <w:pPr>
        <w:pStyle w:val="ListParagraph"/>
        <w:numPr>
          <w:ilvl w:val="0"/>
          <w:numId w:val="5"/>
        </w:numPr>
        <w:spacing w:after="80" w:line="276"/>
      </w:pPr>
      <w:r>
        <w:t xml:space="preserve">Human tissue samples in research are typically donated by patients or their families for the purpose of advancing medical knowledge. What obligation does this create for researchers using those samples?</w:t>
      </w:r>
    </w:p>
    <w:p>
      <w:pPr>
        <w:pStyle w:val="ListParagraph"/>
        <w:numPr>
          <w:ilvl w:val="0"/>
          <w:numId w:val="5"/>
        </w:numPr>
        <w:spacing w:after="80" w:line="276"/>
      </w:pPr>
      <w:r>
        <w:t xml:space="preserve">The 3Rs framework (Replacement, Reduction, Refinement) is well established for animal use in research. How does antibody validation relate to the 3Rs?</w:t>
      </w:r>
    </w:p>
    <w:p>
      <w:pPr>
        <w:pStyle w:val="ListParagraph"/>
        <w:numPr>
          <w:ilvl w:val="0"/>
          <w:numId w:val="5"/>
        </w:numPr>
        <w:spacing w:after="120" w:line="276"/>
      </w:pPr>
      <w:r>
        <w:t xml:space="preserve">Some of these antibodies are still available to purchase. If you discovered that an antibody you had been using had since been withdrawn by the manufacturer, what would you do? What should your institution do?</w:t>
      </w:r>
    </w:p>
    <w:p>
      <w:pPr>
        <w:pStyle w:val="Heading3"/>
      </w:pPr>
      <w:r>
        <w:t xml:space="preserve">Facilitator notes:</w:t>
      </w:r>
    </w:p>
    <w:p>
      <w:pPr>
        <w:spacing w:after="120" w:line="276"/>
      </w:pPr>
      <w:r>
        <w:t xml:space="preserve">This activity works well for groups that include clinical researchers, students on programmes with ethics components, or any audience where the animal/human tissue angle resonates. The 3Rs connection is particularly effective: most researchers already accept that minimising unnecessary animal use is an ethical obligation, and extending this logic to antibody validation reframes it from a technical nicety to an ethical responsibility.</w:t>
      </w:r>
    </w:p>
    <w:p>
      <w:r>
        <w:br w:type="page"/>
      </w:r>
    </w:p>
    <w:p>
      <w:pPr>
        <w:pStyle w:val="Heading1"/>
      </w:pPr>
      <w:r>
        <w:t xml:space="preserve">5. Self-Directed Learning Resources</w:t>
      </w:r>
    </w:p>
    <w:p>
      <w:pPr>
        <w:spacing w:after="120" w:line="276"/>
      </w:pPr>
      <w:r>
        <w:t xml:space="preserve">The following free, online e-learning modules provide the technical depth that complements the motivational content in this pack. They are hosted by the Only Good Antibodies (OGA) Academy and can be completed in any order. Each module takes 10–15 minutes and includes a short quiz.</w:t>
      </w:r>
    </w:p>
    <w:p>
      <w:pPr>
        <w:spacing w:after="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spacing w:after="120" w:line="276"/>
            </w:pPr>
            <w:r>
              <w:rPr>
                <w:b/>
                <w:bCs/>
                <w:color w:val="FFFFFF"/>
              </w:rPr>
              <w:t xml:space="preserve">Module</w:t>
            </w:r>
          </w:p>
        </w:tc>
        <w:tc>
          <w:tcPr>
            <w:tcW w:type="dxa" w:w="6526"/>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spacing w:after="120" w:line="276"/>
            </w:pPr>
            <w:r>
              <w:rPr>
                <w:b/>
                <w:bCs/>
                <w:color w:val="FFFFFF"/>
              </w:rPr>
              <w:t xml:space="preserve">Description</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bCs/>
              </w:rPr>
              <w:t xml:space="preserve">Module 1:</w:t>
            </w:r>
            <w:r>
              <w:t xml:space="preserve"> Why Antibody Choice Matters</w:t>
            </w:r>
          </w:p>
        </w:tc>
        <w:tc>
          <w:tcPr>
            <w:tcW w:type="dxa" w:w="65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line="276"/>
            </w:pPr>
            <w:r>
              <w:t xml:space="preserve">Why antibody selection affects reproducibility, resource use, and ethical commitments. Antibody types and their trade-offs. Large-scale validation evidence.</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bCs/>
              </w:rPr>
              <w:t xml:space="preserve">Module 2:</w:t>
            </w:r>
            <w:r>
              <w:t xml:space="preserve"> The Five Pillars of Antibody Validation</w:t>
            </w:r>
          </w:p>
        </w:tc>
        <w:tc>
          <w:tcPr>
            <w:tcW w:type="dxa" w:w="65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line="276"/>
            </w:pPr>
            <w:r>
              <w:t xml:space="preserve">The IWGAV validation framework: genetic, orthogonal, independent antibody, tagged expression, and IP-MS strategies. Strengths and limitations of each.</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bCs/>
              </w:rPr>
              <w:t xml:space="preserve">Module 3:</w:t>
            </w:r>
            <w:r>
              <w:t xml:space="preserve"> Navigating the OGA Database</w:t>
            </w:r>
          </w:p>
        </w:tc>
        <w:tc>
          <w:tcPr>
            <w:tcW w:type="dxa" w:w="65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line="276"/>
            </w:pPr>
            <w:r>
              <w:t xml:space="preserve">How to search for and interpret independent antibody characterisation data. Understanding the difference between vendor claims and independent evidence.</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bCs/>
              </w:rPr>
              <w:t xml:space="preserve">Module 4:</w:t>
            </w:r>
            <w:r>
              <w:t xml:space="preserve"> Interpreting Validation Data</w:t>
            </w:r>
          </w:p>
        </w:tc>
        <w:tc>
          <w:tcPr>
            <w:tcW w:type="dxa" w:w="65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line="276"/>
            </w:pPr>
            <w:r>
              <w:t xml:space="preserve">Practical data interpretation across flow cytometry, Western blot, and tagged expression. Recognising common pitfalls and non-specific binding.</w:t>
            </w:r>
          </w:p>
        </w:tc>
      </w:tr>
    </w:tbl>
    <w:p>
      <w:pPr>
        <w:spacing w:after="60"/>
      </w:pPr>
    </w:p>
    <w:p>
      <w:pPr>
        <w:spacing w:after="120" w:line="276"/>
      </w:pPr>
      <w:r>
        <w:rPr>
          <w:b/>
          <w:bCs/>
        </w:rPr>
        <w:t xml:space="preserve">Access: </w:t>
      </w:r>
      <w:r>
        <w:t xml:space="preserve">The OGA Academy is available at </w:t>
      </w:r>
      <w:hyperlink w:history="1" r:id="rIdnjv-tflwyjjszyyrpegik">
        <w:r>
          <w:rPr>
            <w:rStyle w:val="Hyperlink"/>
          </w:rPr>
          <w:t xml:space="preserve">onlygoodantibodies.co.uk/academy</w:t>
        </w:r>
      </w:hyperlink>
      <w:r>
        <w:t xml:space="preserve">. Registration is free. Quiz results are tracked, allowing you to verify completion if using this as an assessed component.</w:t>
      </w:r>
    </w:p>
    <w:p>
      <w:pPr>
        <w:pStyle w:val="Heading3"/>
      </w:pPr>
      <w:r>
        <w:t xml:space="preserve">Recommended assignment patterns: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spacing w:after="120" w:line="276"/>
            </w:pPr>
            <w:r>
              <w:rPr>
                <w:b/>
                <w:bCs/>
                <w:color w:val="FFFFFF"/>
              </w:rPr>
              <w:t xml:space="preserve">Context</w:t>
            </w:r>
          </w:p>
        </w:tc>
        <w:tc>
          <w:tcPr>
            <w:tcW w:type="dxa" w:w="6026"/>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spacing w:after="120" w:line="276"/>
            </w:pPr>
            <w:r>
              <w:rPr>
                <w:b/>
                <w:bCs/>
                <w:color w:val="FFFFFF"/>
              </w:rPr>
              <w:t xml:space="preserve">Recommendation</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line="276"/>
            </w:pPr>
            <w:r>
              <w:t xml:space="preserve">15-minute insert (Scenario A)</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line="276"/>
            </w:pPr>
            <w:r>
              <w:t xml:space="preserve">Assign Modules 1–2 after the session</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line="276"/>
            </w:pPr>
            <w:r>
              <w:t xml:space="preserve">1-hour lecture (Scenario B)</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line="276"/>
            </w:pPr>
            <w:r>
              <w:t xml:space="preserve">Assign all four modules after the session; quiz completion as formative assessment</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line="276"/>
            </w:pPr>
            <w:r>
              <w:t xml:space="preserve">2-hour workshop (Scenario C)</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line="276"/>
            </w:pPr>
            <w:r>
              <w:t xml:space="preserve">Assign Module 1 as pre-work; remaining modules after the session</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line="276"/>
            </w:pPr>
            <w:r>
              <w:t xml:space="preserve">Assign and discuss (Scenario D)</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line="276"/>
            </w:pPr>
            <w:r>
              <w:t xml:space="preserve">Assign Modules 1–2 before the follow-up discussion</w:t>
            </w:r>
          </w:p>
        </w:tc>
      </w:tr>
    </w:tbl>
    <w:p>
      <w:pPr>
        <w:pStyle w:val="Heading3"/>
      </w:pPr>
      <w:r>
        <w:t xml:space="preserve">Additional resources:</w:t>
      </w:r>
    </w:p>
    <w:p>
      <w:pPr>
        <w:pStyle w:val="ListParagraph"/>
        <w:numPr>
          <w:ilvl w:val="0"/>
          <w:numId w:val="2"/>
        </w:numPr>
        <w:spacing w:after="80" w:line="276"/>
      </w:pPr>
      <w:r>
        <w:rPr>
          <w:b/>
          <w:bCs/>
        </w:rPr>
        <w:t xml:space="preserve">OGA Antibody Database </w:t>
      </w:r>
      <w:r>
        <w:t xml:space="preserve">(</w:t>
      </w:r>
      <w:hyperlink w:history="1" r:id="rIdwto47fetqdg_uezsxndna">
        <w:r>
          <w:rPr>
            <w:rStyle w:val="Hyperlink"/>
          </w:rPr>
          <w:t xml:space="preserve">onlygoodantibodies.co.uk</w:t>
        </w:r>
      </w:hyperlink>
      <w:r>
        <w:t xml:space="preserve">) — searchable, curated antibody characterisation data across Western blot, immunoprecipitation, ICC/IF, and flow cytometry.</w:t>
      </w:r>
    </w:p>
    <w:p>
      <w:pPr>
        <w:pStyle w:val="ListParagraph"/>
        <w:numPr>
          <w:ilvl w:val="0"/>
          <w:numId w:val="2"/>
        </w:numPr>
        <w:spacing w:after="80" w:line="276"/>
      </w:pPr>
      <w:r>
        <w:rPr>
          <w:b/>
          <w:bCs/>
        </w:rPr>
        <w:t xml:space="preserve">YCharOS Zenodo community </w:t>
      </w:r>
      <w:r>
        <w:t xml:space="preserve">(</w:t>
      </w:r>
      <w:hyperlink w:history="1" r:id="rIdhmvkorkbjy5ooslcxzqe_">
        <w:r>
          <w:rPr>
            <w:rStyle w:val="Hyperlink"/>
          </w:rPr>
          <w:t xml:space="preserve">zenodo.org/communities/ycharos</w:t>
        </w:r>
      </w:hyperlink>
      <w:r>
        <w:t xml:space="preserve">) — open antibody characterisation datasets and reports.</w:t>
      </w:r>
    </w:p>
    <w:p>
      <w:pPr>
        <w:pStyle w:val="ListParagraph"/>
        <w:numPr>
          <w:ilvl w:val="0"/>
          <w:numId w:val="2"/>
        </w:numPr>
        <w:spacing w:after="80" w:line="276"/>
      </w:pPr>
      <w:r>
        <w:rPr>
          <w:b/>
          <w:bCs/>
        </w:rPr>
        <w:t xml:space="preserve">RRID Portal </w:t>
      </w:r>
      <w:r>
        <w:t xml:space="preserve">(</w:t>
      </w:r>
      <w:hyperlink w:history="1" r:id="rIdh1znmh8tc8ejovbyi2ioq">
        <w:r>
          <w:rPr>
            <w:rStyle w:val="Hyperlink"/>
          </w:rPr>
          <w:t xml:space="preserve">scicrunch.org/resources</w:t>
        </w:r>
      </w:hyperlink>
      <w:r>
        <w:t xml:space="preserve">) — look up and cite Research Resource Identifiers for antibodies.</w:t>
      </w:r>
    </w:p>
    <w:p>
      <w:r>
        <w:br w:type="page"/>
      </w:r>
    </w:p>
    <w:p>
      <w:pPr>
        <w:pStyle w:val="Heading1"/>
      </w:pPr>
      <w:r>
        <w:t xml:space="preserve">6. Assessment and Reflection Questions</w:t>
      </w:r>
    </w:p>
    <w:p>
      <w:pPr>
        <w:spacing w:after="120" w:line="276"/>
      </w:pPr>
      <w:r>
        <w:t xml:space="preserve">These questions can be used for written assignments, viva discussions, formative self-reflection, or end-of-session checks. Choose those appropriate to your level and context.</w:t>
      </w:r>
    </w:p>
    <w:p>
      <w:pPr>
        <w:spacing w:after="60"/>
      </w:pPr>
    </w:p>
    <w:p>
      <w:pPr>
        <w:pStyle w:val="Heading2"/>
      </w:pPr>
      <w:r>
        <w:t xml:space="preserve">Short-answer questions (suitable for formative assessment):</w:t>
      </w:r>
    </w:p>
    <w:p>
      <w:pPr>
        <w:pStyle w:val="ListParagraph"/>
        <w:numPr>
          <w:ilvl w:val="0"/>
          <w:numId w:val="6"/>
        </w:numPr>
        <w:spacing w:after="100" w:line="276"/>
      </w:pPr>
      <w:r>
        <w:t xml:space="preserve">An antibody has been cited in over 300 publications. Does this tell you anything about its specificity? Explain your reasoning.</w:t>
      </w:r>
    </w:p>
    <w:p>
      <w:pPr>
        <w:pStyle w:val="ListParagraph"/>
        <w:numPr>
          <w:ilvl w:val="0"/>
          <w:numId w:val="6"/>
        </w:numPr>
        <w:spacing w:after="100" w:line="276"/>
      </w:pPr>
      <w:r>
        <w:t xml:space="preserve">Explain in one or two sentences why an antibody validated for Western blot cannot be assumed to work in immunofluorescence.</w:t>
      </w:r>
    </w:p>
    <w:p>
      <w:pPr>
        <w:pStyle w:val="ListParagraph"/>
        <w:numPr>
          <w:ilvl w:val="0"/>
          <w:numId w:val="6"/>
        </w:numPr>
        <w:spacing w:after="100" w:line="276"/>
      </w:pPr>
      <w:r>
        <w:t xml:space="preserve">A vendor website states an antibody is ‘validated for IHC.’ What additional information would you want before using it in your experiment?</w:t>
      </w:r>
    </w:p>
    <w:p>
      <w:pPr>
        <w:pStyle w:val="ListParagraph"/>
        <w:numPr>
          <w:ilvl w:val="0"/>
          <w:numId w:val="6"/>
        </w:numPr>
        <w:spacing w:after="100" w:line="276"/>
      </w:pPr>
      <w:r>
        <w:t xml:space="preserve">Name two advantages of recombinant antibodies over polyclonal antibodies for long-term collaborative research.</w:t>
      </w:r>
    </w:p>
    <w:p>
      <w:pPr>
        <w:spacing w:after="60"/>
      </w:pPr>
    </w:p>
    <w:p>
      <w:pPr>
        <w:pStyle w:val="Heading2"/>
      </w:pPr>
      <w:r>
        <w:t xml:space="preserve">Reflection questions (suitable for written assignments, 300–500 words):</w:t>
      </w:r>
    </w:p>
    <w:p>
      <w:pPr>
        <w:pStyle w:val="ListParagraph"/>
        <w:numPr>
          <w:ilvl w:val="0"/>
          <w:numId w:val="2"/>
        </w:numPr>
        <w:spacing w:after="100" w:line="276"/>
      </w:pPr>
      <w:r>
        <w:rPr>
          <w:i/>
          <w:iCs/>
        </w:rPr>
        <w:t xml:space="preserve">Researchers identify time, cost, and lack of supervisor support as the primary barriers to better validation practices — yet the same researchers rate open data sharing, dedicated validation funding, and publisher requirements as the solutions they most support. </w:t>
      </w:r>
      <w:r>
        <w:t xml:space="preserve">What does this tell us about the nature of the antibody validation problem, and what kind of change is needed to address it?</w:t>
      </w:r>
    </w:p>
    <w:p>
      <w:pPr>
        <w:pStyle w:val="ListParagraph"/>
        <w:numPr>
          <w:ilvl w:val="0"/>
          <w:numId w:val="2"/>
        </w:numPr>
        <w:spacing w:after="100" w:line="276"/>
      </w:pPr>
      <w:r>
        <w:rPr>
          <w:i/>
          <w:iCs/>
        </w:rPr>
        <w:t xml:space="preserve">A Delphi consensus study found that 15 out of 33 proposed actions to improve antibody validation were rated as effective but with uncertain feasibility. </w:t>
      </w:r>
      <w:r>
        <w:t xml:space="preserve">In your view, what makes the difference between an effective intervention and a feasible one in the research system? Use examples from antibody validation or your own experience.</w:t>
      </w:r>
    </w:p>
    <w:p>
      <w:pPr>
        <w:pStyle w:val="ListParagraph"/>
        <w:numPr>
          <w:ilvl w:val="0"/>
          <w:numId w:val="2"/>
        </w:numPr>
        <w:spacing w:after="100" w:line="276"/>
      </w:pPr>
      <w:r>
        <w:t xml:space="preserve">Consider the 3Rs framework (Replacement, Reduction, Refinement) as it applies to antibody use in research. How does the choice of a well-validated antibody contribute to each of the three Rs? Where does current practice fall short?</w:t>
      </w:r>
    </w:p>
    <w:p>
      <w:r>
        <w:br w:type="page"/>
      </w:r>
    </w:p>
    <w:p>
      <w:pPr>
        <w:pStyle w:val="Heading1"/>
      </w:pPr>
      <w:r>
        <w:t xml:space="preserve">Appendix: Key References</w:t>
      </w:r>
    </w:p>
    <w:p>
      <w:pPr>
        <w:spacing w:after="120" w:line="276"/>
      </w:pPr>
      <w:r>
        <w:t xml:space="preserve">Ayoubi R, Ryan J, Biddle MS, et al. Scaling of an antibody validation procedure enables quantification of antibody performance in major research applications. </w:t>
      </w:r>
      <w:r>
        <w:rPr>
          <w:i/>
          <w:iCs/>
        </w:rPr>
        <w:t xml:space="preserve">eLife</w:t>
      </w:r>
      <w:r>
        <w:t xml:space="preserve">. 2023;12:RP91645. </w:t>
      </w:r>
      <w:hyperlink w:history="1" r:id="rIdcicxmmmtcomjep4j4awp4">
        <w:r>
          <w:rPr>
            <w:rStyle w:val="Hyperlink"/>
          </w:rPr>
          <w:t xml:space="preserve">doi:10.7554/eLife.91645</w:t>
        </w:r>
      </w:hyperlink>
    </w:p>
    <w:p>
      <w:pPr>
        <w:spacing w:after="120" w:line="276"/>
      </w:pPr>
      <w:r>
        <w:t xml:space="preserve">Biddle M, Cooper J, Blades K, Ruddy D, Krockow EM, Virk H. Drivers and ethical impacts of insufficient validation of antibodies in research. </w:t>
      </w:r>
      <w:r>
        <w:rPr>
          <w:i/>
          <w:iCs/>
        </w:rPr>
        <w:t xml:space="preserve">Preprint</w:t>
      </w:r>
      <w:r>
        <w:t xml:space="preserve">. 2026. </w:t>
      </w:r>
      <w:hyperlink w:history="1" r:id="rIdltmaqs9nr0qgdthpitb4y">
        <w:r>
          <w:rPr>
            <w:rStyle w:val="Hyperlink"/>
          </w:rPr>
          <w:t xml:space="preserve">doi:10.64898/2026.02.19.706766</w:t>
        </w:r>
      </w:hyperlink>
    </w:p>
    <w:p>
      <w:pPr>
        <w:spacing w:after="120" w:line="276"/>
      </w:pPr>
      <w:r>
        <w:t xml:space="preserve">Blades K, Biddle M, Froud R, Krockow EM, Virk H. Delphi consensus on antibody validation reform. </w:t>
      </w:r>
      <w:r>
        <w:rPr>
          <w:i/>
          <w:iCs/>
        </w:rPr>
        <w:t xml:space="preserve">Preprint</w:t>
      </w:r>
      <w:r>
        <w:t xml:space="preserve">. 2026. </w:t>
      </w:r>
      <w:hyperlink w:history="1" r:id="rId95wkdfstojygwirnalocs">
        <w:r>
          <w:rPr>
            <w:rStyle w:val="Hyperlink"/>
          </w:rPr>
          <w:t xml:space="preserve">doi:10.64898/2026.03.04.709541</w:t>
        </w:r>
      </w:hyperlink>
    </w:p>
    <w:p>
      <w:pPr>
        <w:spacing w:after="120" w:line="276"/>
      </w:pPr>
      <w:r>
        <w:t xml:space="preserve">Freedman LP, Cockburn IM, Simcoe TS. The economics of reproducibility in preclinical research. </w:t>
      </w:r>
      <w:r>
        <w:rPr>
          <w:i/>
          <w:iCs/>
        </w:rPr>
        <w:t xml:space="preserve">PLoS Biol</w:t>
      </w:r>
      <w:r>
        <w:t xml:space="preserve">. 2015;13(6):e1002165. </w:t>
      </w:r>
      <w:hyperlink w:history="1" r:id="rId7vyokbyn57gr2lmex3m09">
        <w:r>
          <w:rPr>
            <w:rStyle w:val="Hyperlink"/>
          </w:rPr>
          <w:t xml:space="preserve">doi:10.1371/journal.pbio.1002165</w:t>
        </w:r>
      </w:hyperlink>
    </w:p>
    <w:p>
      <w:pPr>
        <w:spacing w:after="120" w:line="276"/>
      </w:pPr>
      <w:r>
        <w:t xml:space="preserve">Kahn RA, Virk H, Laflamme C, et al. Antibody characterization is critical to enhance reproducibility in biomedical research. </w:t>
      </w:r>
      <w:r>
        <w:rPr>
          <w:i/>
          <w:iCs/>
        </w:rPr>
        <w:t xml:space="preserve">eLife</w:t>
      </w:r>
      <w:r>
        <w:t xml:space="preserve">. 2024;13:e100211. </w:t>
      </w:r>
      <w:hyperlink w:history="1" r:id="rIdap_atklk3bilr6vahcrcg">
        <w:r>
          <w:rPr>
            <w:rStyle w:val="Hyperlink"/>
          </w:rPr>
          <w:t xml:space="preserve">doi:10.7554/eLife.100211</w:t>
        </w:r>
      </w:hyperlink>
    </w:p>
    <w:p>
      <w:pPr>
        <w:spacing w:after="120" w:line="276"/>
      </w:pPr>
      <w:r>
        <w:t xml:space="preserve">Uhlén M, Bandrowski A, Carr S, et al. A proposal for validation of antibodies. </w:t>
      </w:r>
      <w:r>
        <w:rPr>
          <w:i/>
          <w:iCs/>
        </w:rPr>
        <w:t xml:space="preserve">Nat Methods</w:t>
      </w:r>
      <w:r>
        <w:t xml:space="preserve">. 2016;13(10):823–827. </w:t>
      </w:r>
      <w:hyperlink w:history="1" r:id="rId_gncvdu-8berlyqtajype">
        <w:r>
          <w:rPr>
            <w:rStyle w:val="Hyperlink"/>
          </w:rPr>
          <w:t xml:space="preserve">doi:10.1038/nmeth.3995</w:t>
        </w:r>
      </w:hyperlink>
    </w:p>
    <w:p>
      <w:pPr>
        <w:spacing w:after="60"/>
      </w:pPr>
    </w:p>
    <w:p>
      <w:pPr>
        <w:spacing w:after="60"/>
      </w:pPr>
    </w:p>
    <w:p>
      <w:pPr>
        <w:spacing w:before="200"/>
      </w:pPr>
      <w:r>
        <w:rPr>
          <w:i/>
          <w:iCs/>
          <w:color w:val="888888"/>
          <w:sz w:val="20"/>
          <w:szCs w:val="20"/>
        </w:rPr>
        <w:t xml:space="preserve">This teaching pack was developed from findings of an MRC-funded Delphi consensus study (NC3Rs Ref: NC/NAM0019/1, MRC UKRI076). It is free to use, adapt, and redistribute with attribution to the original research.</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99999"/>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999999"/>
        <w:sz w:val="18"/>
        <w:szCs w:val="18"/>
      </w:rPr>
      <w:t xml:space="preserve">Teaching Pack: Antibody Validation in Biomedical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2E5090"/>
      <w:sz w:val="36"/>
      <w:szCs w:val="36"/>
    </w:rPr>
  </w:style>
  <w:style w:type="paragraph" w:styleId="Heading2">
    <w:name w:val="Heading 2"/>
    <w:basedOn w:val="Normal"/>
    <w:next w:val="Normal"/>
    <w:qFormat/>
    <w:pPr>
      <w:spacing w:after="160" w:before="280"/>
      <w:outlineLvl w:val="1"/>
    </w:pPr>
    <w:rPr>
      <w:rFonts w:ascii="Arial" w:cs="Arial" w:eastAsia="Arial" w:hAnsi="Arial"/>
      <w:b/>
      <w:bCs/>
      <w:color w:val="2E5090"/>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njv-tflwyjjszyyrpegik" Type="http://schemas.openxmlformats.org/officeDocument/2006/relationships/hyperlink" Target="https://onlygoodantibodies.co.uk/academy" TargetMode="External"/><Relationship Id="rIdwto47fetqdg_uezsxndna" Type="http://schemas.openxmlformats.org/officeDocument/2006/relationships/hyperlink" Target="https://onlygoodantibodies.co.uk" TargetMode="External"/><Relationship Id="rIdhmvkorkbjy5ooslcxzqe_" Type="http://schemas.openxmlformats.org/officeDocument/2006/relationships/hyperlink" Target="https://zenodo.org/communities/ycharos" TargetMode="External"/><Relationship Id="rIdh1znmh8tc8ejovbyi2ioq" Type="http://schemas.openxmlformats.org/officeDocument/2006/relationships/hyperlink" Target="https://scicrunch.org/resources" TargetMode="External"/><Relationship Id="rIdcicxmmmtcomjep4j4awp4" Type="http://schemas.openxmlformats.org/officeDocument/2006/relationships/hyperlink" Target="https://doi.org/10.7554/eLife.91645" TargetMode="External"/><Relationship Id="rIdltmaqs9nr0qgdthpitb4y" Type="http://schemas.openxmlformats.org/officeDocument/2006/relationships/hyperlink" Target="https://doi.org/10.64898/2026.02.19.706766" TargetMode="External"/><Relationship Id="rId95wkdfstojygwirnalocs" Type="http://schemas.openxmlformats.org/officeDocument/2006/relationships/hyperlink" Target="https://doi.org/10.64898/2026.03.04.709541" TargetMode="External"/><Relationship Id="rId7vyokbyn57gr2lmex3m09" Type="http://schemas.openxmlformats.org/officeDocument/2006/relationships/hyperlink" Target="https://doi.org/10.1371/journal.pbio.1002165" TargetMode="External"/><Relationship Id="rIdap_atklk3bilr6vahcrcg" Type="http://schemas.openxmlformats.org/officeDocument/2006/relationships/hyperlink" Target="https://doi.org/10.7554/eLife.100211" TargetMode="External"/><Relationship Id="rId_gncvdu-8berlyqtajype" Type="http://schemas.openxmlformats.org/officeDocument/2006/relationships/hyperlink" Target="https://doi.org/10.1038/nmeth.3995" TargetMode="External"/><Relationship Id="rId1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2026-03-13T11:44:45.571Z</dcterms:created>
  <dcterms:modified xsi:type="dcterms:W3CDTF">2026-03-13T11:44:45.572Z</dcterms:modified>
</cp:coreProperties>
</file>

<file path=docProps/custom.xml><?xml version="1.0" encoding="utf-8"?>
<Properties xmlns="http://schemas.openxmlformats.org/officeDocument/2006/custom-properties" xmlns:vt="http://schemas.openxmlformats.org/officeDocument/2006/docPropsVTypes"/>
</file>